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40" w:rsidRPr="00294A40" w:rsidRDefault="00294A40" w:rsidP="00294A40">
      <w:pPr>
        <w:autoSpaceDE w:val="0"/>
        <w:autoSpaceDN w:val="0"/>
        <w:adjustRightInd w:val="0"/>
        <w:rPr>
          <w:rFonts w:ascii="Century Gothic" w:hAnsi="Century Gothic" w:cs="Arial"/>
          <w:b/>
          <w:bCs/>
          <w:color w:val="231F20"/>
          <w:sz w:val="24"/>
          <w:szCs w:val="24"/>
        </w:rPr>
      </w:pPr>
      <w:r w:rsidRPr="00294A40">
        <w:rPr>
          <w:rFonts w:ascii="Century Gothic" w:hAnsi="Century Gothic" w:cs="Arial"/>
          <w:b/>
          <w:bCs/>
          <w:color w:val="231F20"/>
          <w:sz w:val="24"/>
          <w:szCs w:val="24"/>
        </w:rPr>
        <w:t>PART 1 GENERAL</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1.1 SCOPE</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A. The provisions of Section _______, Mechanical General specifications apply to all work in this Section</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B. This Section includes all specifications relating to the furnishing and installing of Single Wall Positive Pressure Vent Systems for Condensing Heating Appliances.</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1.2 SUBMITTALS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Submit the following items in accordance with Section _______:</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A. Catalog Cuts/Diagrams/Descriptions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B. Sizing calculations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C. Installation instructions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D. Installation drawings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E. Copy of product warranties</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1.3 CODES AND APPLICABLE STANDARDS</w:t>
      </w: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rPr>
        <w:t>.</w:t>
      </w:r>
    </w:p>
    <w:p w:rsidR="00294A40" w:rsidRPr="00294A40" w:rsidRDefault="00294A40" w:rsidP="00294A40">
      <w:pPr>
        <w:pStyle w:val="Heading2"/>
        <w:rPr>
          <w:rFonts w:ascii="Century Gothic" w:hAnsi="Century Gothic" w:cs="Arial"/>
          <w:b w:val="0"/>
          <w:sz w:val="20"/>
        </w:rPr>
      </w:pPr>
      <w:r w:rsidRPr="00294A40">
        <w:rPr>
          <w:rFonts w:ascii="Century Gothic" w:hAnsi="Century Gothic" w:cs="Arial"/>
          <w:b w:val="0"/>
          <w:color w:val="231F20"/>
          <w:sz w:val="20"/>
        </w:rPr>
        <w:t xml:space="preserve">All products furnished under this Section shall conform to the requirements of The National Fuel Gas Code, ANSI Z223.1/NFPA-54 where applicable and shall comply with and be listed to </w:t>
      </w:r>
      <w:r w:rsidRPr="00294A40">
        <w:rPr>
          <w:rFonts w:ascii="Century Gothic" w:hAnsi="Century Gothic" w:cs="Arial"/>
          <w:color w:val="231F20"/>
          <w:sz w:val="20"/>
        </w:rPr>
        <w:t>UL-1738</w:t>
      </w:r>
      <w:r w:rsidRPr="00294A40">
        <w:rPr>
          <w:rFonts w:ascii="Century Gothic" w:hAnsi="Century Gothic" w:cs="Arial"/>
          <w:b w:val="0"/>
          <w:color w:val="231F20"/>
          <w:sz w:val="20"/>
        </w:rPr>
        <w:t xml:space="preserve">, the US Standard for </w:t>
      </w:r>
      <w:r w:rsidRPr="00294A40">
        <w:rPr>
          <w:rFonts w:ascii="Century Gothic" w:hAnsi="Century Gothic" w:cs="Arial"/>
          <w:b w:val="0"/>
          <w:sz w:val="20"/>
        </w:rPr>
        <w:t xml:space="preserve">Venting Systems for Gas-Burning Appliances, Categories II, III, and IV and </w:t>
      </w:r>
      <w:r w:rsidRPr="00294A40">
        <w:rPr>
          <w:rFonts w:ascii="Century Gothic" w:hAnsi="Century Gothic" w:cs="Arial"/>
          <w:color w:val="231F20"/>
          <w:sz w:val="20"/>
        </w:rPr>
        <w:t>ULC-S636-95</w:t>
      </w:r>
      <w:r w:rsidRPr="00294A40">
        <w:rPr>
          <w:rFonts w:ascii="Century Gothic" w:hAnsi="Century Gothic" w:cs="Arial"/>
          <w:b w:val="0"/>
          <w:color w:val="231F20"/>
          <w:sz w:val="20"/>
        </w:rPr>
        <w:t>, the Canadian Standard for Type BH gas vent systems.</w:t>
      </w:r>
      <w:r w:rsidRPr="00294A40">
        <w:rPr>
          <w:rFonts w:ascii="Century Gothic" w:hAnsi="Century Gothic" w:cs="Arial"/>
          <w:b w:val="0"/>
          <w:sz w:val="20"/>
        </w:rPr>
        <w:t xml:space="preserve"> These requirements cover venting systems intended for venting Category II or IV gas-burning appliances as defined by the Standard for Gas-Fired Central Furnaces (except Direct-Vent Central Furnaces), ANSI Z21.47 and the National Fuel Gas Code, NFPA 54. Venting systems covered by these requirements are intended to be used with Category II, III, and IV appliances that have been installed in accordance with NFPA 54, and with codes such as the BOCA National Mechanical Code, the Standard Mechanical Code, the Uniform Mechanical Code, and local codes.</w:t>
      </w:r>
      <w:r w:rsidRPr="00294A40">
        <w:rPr>
          <w:rFonts w:ascii="Century Gothic" w:hAnsi="Century Gothic" w:cs="Arial"/>
          <w:b w:val="0"/>
          <w:color w:val="231F20"/>
          <w:sz w:val="20"/>
        </w:rPr>
        <w:t xml:space="preserve"> Components coming in direct contact with products of combustion shall carry the appropriate </w:t>
      </w:r>
      <w:r w:rsidRPr="00294A40">
        <w:rPr>
          <w:rFonts w:ascii="Century Gothic" w:hAnsi="Century Gothic" w:cs="Arial"/>
          <w:color w:val="231F20"/>
          <w:sz w:val="20"/>
        </w:rPr>
        <w:t>UL/cUL</w:t>
      </w:r>
      <w:r w:rsidRPr="00294A40">
        <w:rPr>
          <w:rFonts w:ascii="Century Gothic" w:hAnsi="Century Gothic" w:cs="Arial"/>
          <w:b w:val="0"/>
          <w:color w:val="231F20"/>
          <w:sz w:val="20"/>
        </w:rPr>
        <w:t xml:space="preserve"> labels.</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1.4 WARRANTIES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The manufacturer shall warrant the Positive Pressure Vent System against defects in material and workmanship for a period of 10 years from the date of the original installation. Any portion of the vent repaired or replaced under the warranty shall be warranted for the remainder of the original warranty period.</w:t>
      </w:r>
    </w:p>
    <w:p w:rsidR="00294A40" w:rsidRPr="00294A40" w:rsidRDefault="00294A40" w:rsidP="00294A40">
      <w:pPr>
        <w:autoSpaceDE w:val="0"/>
        <w:autoSpaceDN w:val="0"/>
        <w:adjustRightInd w:val="0"/>
        <w:rPr>
          <w:rFonts w:ascii="Century Gothic" w:hAnsi="Century Gothic" w:cs="Arial"/>
          <w:b/>
          <w:bCs/>
          <w:color w:val="231F20"/>
          <w:sz w:val="24"/>
          <w:szCs w:val="24"/>
        </w:rPr>
      </w:pPr>
    </w:p>
    <w:p w:rsidR="00294A40" w:rsidRPr="00294A40" w:rsidRDefault="00294A40" w:rsidP="00294A40">
      <w:pPr>
        <w:autoSpaceDE w:val="0"/>
        <w:autoSpaceDN w:val="0"/>
        <w:adjustRightInd w:val="0"/>
        <w:rPr>
          <w:rFonts w:ascii="Century Gothic" w:hAnsi="Century Gothic" w:cs="Arial"/>
          <w:b/>
          <w:bCs/>
          <w:color w:val="231F20"/>
          <w:sz w:val="24"/>
          <w:szCs w:val="24"/>
        </w:rPr>
      </w:pPr>
      <w:r w:rsidRPr="00294A40">
        <w:rPr>
          <w:rFonts w:ascii="Century Gothic" w:hAnsi="Century Gothic" w:cs="Arial"/>
          <w:b/>
          <w:bCs/>
          <w:color w:val="231F20"/>
          <w:sz w:val="24"/>
          <w:szCs w:val="24"/>
        </w:rPr>
        <w:t>PART 2 PRODUCTS</w:t>
      </w: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2.1 POSITIVE PRESSURE VENT</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A. The vent shall be of the single wall, factory-built type, designed for use in conjunction with Category II, or IV condensing gas fired appliances, condensing oil fired appliances or as specified by the heating equipment manufacturer.</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lastRenderedPageBreak/>
        <w:t>B. Maximum continuous flue gas temperature shall not exceed 230 degrees F (110 degrees C).</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 xml:space="preserve">C. Vent shall be listed for a maximum positive pressure rating of 20” w.c. </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D. The vent system shall be continuous from the appliance’s flue outlet to the vent termination outside the building. All systems components shall be UL/cUL listed and supplied by the same manufacturer.</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E. The vent shall be constructed from Flame Resistant Polypropylene, with a min. wall thickness of:</w:t>
      </w:r>
    </w:p>
    <w:p w:rsidR="00294A40" w:rsidRPr="00294A40" w:rsidRDefault="00294A40" w:rsidP="00294A40">
      <w:pPr>
        <w:autoSpaceDE w:val="0"/>
        <w:autoSpaceDN w:val="0"/>
        <w:adjustRightInd w:val="0"/>
        <w:rPr>
          <w:rFonts w:ascii="Century Gothic" w:hAnsi="Century Gothic" w:cs="Arial"/>
          <w:color w:val="231F20"/>
        </w:rPr>
      </w:pPr>
    </w:p>
    <w:tbl>
      <w:tblPr>
        <w:tblW w:w="8550" w:type="dxa"/>
        <w:tblInd w:w="558" w:type="dxa"/>
        <w:tblLook w:val="04A0" w:firstRow="1" w:lastRow="0" w:firstColumn="1" w:lastColumn="0" w:noHBand="0" w:noVBand="1"/>
      </w:tblPr>
      <w:tblGrid>
        <w:gridCol w:w="1440"/>
        <w:gridCol w:w="1686"/>
        <w:gridCol w:w="1040"/>
        <w:gridCol w:w="1040"/>
        <w:gridCol w:w="1360"/>
        <w:gridCol w:w="1984"/>
      </w:tblGrid>
      <w:tr w:rsidR="00294A40" w:rsidRPr="00294A40" w:rsidTr="00251FBD">
        <w:trPr>
          <w:trHeight w:hRule="exact" w:val="288"/>
        </w:trPr>
        <w:tc>
          <w:tcPr>
            <w:tcW w:w="3126"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i/>
                <w:iCs/>
                <w:color w:val="000000"/>
                <w:u w:val="single"/>
              </w:rPr>
              <w:t>Diameter</w:t>
            </w:r>
          </w:p>
        </w:tc>
        <w:tc>
          <w:tcPr>
            <w:tcW w:w="5424" w:type="dxa"/>
            <w:gridSpan w:val="4"/>
            <w:tcBorders>
              <w:top w:val="single" w:sz="4" w:space="0" w:color="auto"/>
              <w:left w:val="nil"/>
              <w:bottom w:val="single" w:sz="4" w:space="0" w:color="auto"/>
              <w:right w:val="single" w:sz="4" w:space="0" w:color="000000"/>
            </w:tcBorders>
            <w:shd w:val="clear" w:color="000000" w:fill="FDE9D9"/>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i/>
                <w:iCs/>
                <w:color w:val="000000"/>
                <w:u w:val="single"/>
              </w:rPr>
              <w:t>Wall thickness extruded pipes</w:t>
            </w:r>
          </w:p>
        </w:tc>
      </w:tr>
      <w:tr w:rsidR="00294A40" w:rsidRPr="00294A40" w:rsidTr="00251FBD">
        <w:trPr>
          <w:trHeight w:hRule="exact" w:val="100"/>
        </w:trPr>
        <w:tc>
          <w:tcPr>
            <w:tcW w:w="1440" w:type="dxa"/>
            <w:tcBorders>
              <w:top w:val="nil"/>
              <w:left w:val="single" w:sz="4" w:space="0" w:color="auto"/>
              <w:bottom w:val="single" w:sz="4" w:space="0" w:color="auto"/>
              <w:right w:val="single" w:sz="4" w:space="0" w:color="auto"/>
            </w:tcBorders>
            <w:shd w:val="clear" w:color="auto" w:fill="auto"/>
            <w:vAlign w:val="center"/>
            <w:hideMark/>
          </w:tcPr>
          <w:p w:rsidR="00294A40" w:rsidRPr="00294A40" w:rsidRDefault="00294A40" w:rsidP="00251FBD">
            <w:pPr>
              <w:jc w:val="center"/>
              <w:rPr>
                <w:rFonts w:ascii="Century Gothic" w:hAnsi="Century Gothic"/>
                <w:i/>
                <w:iCs/>
                <w:color w:val="000000"/>
                <w:u w:val="single"/>
              </w:rPr>
            </w:pPr>
          </w:p>
        </w:tc>
        <w:tc>
          <w:tcPr>
            <w:tcW w:w="1686" w:type="dxa"/>
            <w:tcBorders>
              <w:top w:val="nil"/>
              <w:left w:val="nil"/>
              <w:bottom w:val="single" w:sz="4" w:space="0" w:color="auto"/>
              <w:right w:val="single" w:sz="4" w:space="0" w:color="auto"/>
            </w:tcBorders>
            <w:shd w:val="clear" w:color="auto" w:fill="auto"/>
            <w:vAlign w:val="center"/>
            <w:hideMark/>
          </w:tcPr>
          <w:p w:rsidR="00294A40" w:rsidRPr="00294A40" w:rsidRDefault="00294A40" w:rsidP="00251FBD">
            <w:pPr>
              <w:jc w:val="center"/>
              <w:rPr>
                <w:rFonts w:ascii="Century Gothic" w:hAnsi="Century Gothic"/>
                <w:i/>
                <w:iCs/>
                <w:color w:val="000000"/>
                <w:u w:val="single"/>
              </w:rPr>
            </w:pPr>
          </w:p>
        </w:tc>
        <w:tc>
          <w:tcPr>
            <w:tcW w:w="104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color w:val="000000"/>
              </w:rPr>
            </w:pPr>
          </w:p>
        </w:tc>
        <w:tc>
          <w:tcPr>
            <w:tcW w:w="104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color w:val="000000"/>
              </w:rPr>
            </w:pPr>
          </w:p>
        </w:tc>
        <w:tc>
          <w:tcPr>
            <w:tcW w:w="136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color w:val="000000"/>
              </w:rPr>
            </w:pPr>
          </w:p>
        </w:tc>
        <w:tc>
          <w:tcPr>
            <w:tcW w:w="1984"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color w:val="000000"/>
              </w:rPr>
            </w:pPr>
          </w:p>
        </w:tc>
      </w:tr>
      <w:tr w:rsidR="00294A40" w:rsidRPr="00294A40" w:rsidTr="00251FBD">
        <w:trPr>
          <w:trHeight w:hRule="exact" w:val="62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i/>
                <w:iCs/>
                <w:color w:val="000000"/>
                <w:u w:val="single"/>
              </w:rPr>
            </w:pPr>
            <w:r w:rsidRPr="00294A40">
              <w:rPr>
                <w:rFonts w:ascii="Century Gothic" w:hAnsi="Century Gothic"/>
                <w:i/>
                <w:iCs/>
                <w:color w:val="000000"/>
                <w:u w:val="single"/>
              </w:rPr>
              <w:t>Diameter (mm)</w:t>
            </w:r>
            <w:r w:rsidRPr="00294A40">
              <w:rPr>
                <w:rFonts w:ascii="Century Gothic" w:hAnsi="Century Gothic"/>
                <w:color w:val="000000"/>
              </w:rPr>
              <w:t> </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i/>
                <w:iCs/>
                <w:color w:val="000000"/>
                <w:u w:val="single"/>
              </w:rPr>
              <w:t>diameter</w:t>
            </w:r>
            <w:r w:rsidRPr="00294A40">
              <w:rPr>
                <w:rFonts w:ascii="Century Gothic" w:hAnsi="Century Gothic"/>
                <w:i/>
                <w:iCs/>
                <w:color w:val="000000"/>
                <w:u w:val="single"/>
              </w:rPr>
              <w:br/>
              <w:t>(inch)</w:t>
            </w:r>
            <w:r w:rsidRPr="00294A40">
              <w:rPr>
                <w:rFonts w:ascii="Century Gothic" w:hAnsi="Century Gothic"/>
                <w:color w:val="000000"/>
              </w:rPr>
              <w:t> </w:t>
            </w:r>
          </w:p>
        </w:tc>
        <w:tc>
          <w:tcPr>
            <w:tcW w:w="104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i/>
                <w:iCs/>
                <w:color w:val="000000"/>
                <w:u w:val="single"/>
              </w:rPr>
            </w:pPr>
            <w:r w:rsidRPr="00294A40">
              <w:rPr>
                <w:rFonts w:ascii="Century Gothic" w:hAnsi="Century Gothic"/>
                <w:i/>
                <w:iCs/>
                <w:color w:val="000000"/>
                <w:u w:val="single"/>
              </w:rPr>
              <w:t>min</w:t>
            </w:r>
            <w:r w:rsidRPr="00294A40">
              <w:rPr>
                <w:rFonts w:ascii="Century Gothic" w:hAnsi="Century Gothic"/>
                <w:i/>
                <w:iCs/>
                <w:color w:val="000000"/>
                <w:u w:val="single"/>
              </w:rPr>
              <w:br/>
              <w:t>(mm)</w:t>
            </w:r>
          </w:p>
        </w:tc>
        <w:tc>
          <w:tcPr>
            <w:tcW w:w="104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i/>
                <w:iCs/>
                <w:color w:val="000000"/>
                <w:u w:val="single"/>
              </w:rPr>
            </w:pPr>
            <w:r w:rsidRPr="00294A40">
              <w:rPr>
                <w:rFonts w:ascii="Century Gothic" w:hAnsi="Century Gothic"/>
                <w:i/>
                <w:iCs/>
                <w:color w:val="000000"/>
                <w:u w:val="single"/>
              </w:rPr>
              <w:t>max</w:t>
            </w:r>
            <w:r w:rsidRPr="00294A40">
              <w:rPr>
                <w:rFonts w:ascii="Century Gothic" w:hAnsi="Century Gothic"/>
                <w:i/>
                <w:iCs/>
                <w:color w:val="000000"/>
                <w:u w:val="single"/>
              </w:rPr>
              <w:br/>
              <w:t>(mm)</w:t>
            </w:r>
          </w:p>
        </w:tc>
        <w:tc>
          <w:tcPr>
            <w:tcW w:w="1360"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i/>
                <w:iCs/>
                <w:color w:val="000000"/>
                <w:u w:val="single"/>
              </w:rPr>
            </w:pPr>
            <w:r w:rsidRPr="00294A40">
              <w:rPr>
                <w:rFonts w:ascii="Century Gothic" w:hAnsi="Century Gothic"/>
                <w:i/>
                <w:iCs/>
                <w:color w:val="000000"/>
                <w:u w:val="single"/>
              </w:rPr>
              <w:t>min</w:t>
            </w:r>
            <w:r w:rsidRPr="00294A40">
              <w:rPr>
                <w:rFonts w:ascii="Century Gothic" w:hAnsi="Century Gothic"/>
                <w:i/>
                <w:iCs/>
                <w:color w:val="000000"/>
                <w:u w:val="single"/>
              </w:rPr>
              <w:br/>
              <w:t>(inch)</w:t>
            </w:r>
          </w:p>
        </w:tc>
        <w:tc>
          <w:tcPr>
            <w:tcW w:w="1984" w:type="dxa"/>
            <w:tcBorders>
              <w:top w:val="nil"/>
              <w:left w:val="nil"/>
              <w:bottom w:val="single" w:sz="4" w:space="0" w:color="auto"/>
              <w:right w:val="single" w:sz="4" w:space="0" w:color="auto"/>
            </w:tcBorders>
            <w:shd w:val="clear" w:color="000000" w:fill="FDE9D9"/>
            <w:vAlign w:val="center"/>
            <w:hideMark/>
          </w:tcPr>
          <w:p w:rsidR="00294A40" w:rsidRPr="00294A40" w:rsidRDefault="00294A40" w:rsidP="00251FBD">
            <w:pPr>
              <w:jc w:val="center"/>
              <w:rPr>
                <w:rFonts w:ascii="Century Gothic" w:hAnsi="Century Gothic"/>
                <w:i/>
                <w:iCs/>
                <w:color w:val="000000"/>
                <w:u w:val="single"/>
              </w:rPr>
            </w:pPr>
            <w:r w:rsidRPr="00294A40">
              <w:rPr>
                <w:rFonts w:ascii="Century Gothic" w:hAnsi="Century Gothic"/>
                <w:i/>
                <w:iCs/>
                <w:color w:val="000000"/>
                <w:u w:val="single"/>
              </w:rPr>
              <w:t>max</w:t>
            </w:r>
            <w:r w:rsidRPr="00294A40">
              <w:rPr>
                <w:rFonts w:ascii="Century Gothic" w:hAnsi="Century Gothic"/>
                <w:i/>
                <w:iCs/>
                <w:color w:val="000000"/>
                <w:u w:val="single"/>
              </w:rPr>
              <w:br/>
              <w:t>(inch)</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60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1.7</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2.2</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0.0669</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0.0866</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80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3"</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1.8</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2.4</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0.0709</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0.0945</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110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4"</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2.4</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3.2</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0.0945</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0.1260</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125</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5"</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2.7</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3.7</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0.1063</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0.1457</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160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6"</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2.9</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4.5</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0.1142</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0.1772</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200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8"</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3.5</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4.5</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0.1378</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0.1772</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250</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10"</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3.3</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4.7</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0.1299</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0.1850</w:t>
            </w:r>
          </w:p>
        </w:tc>
      </w:tr>
      <w:tr w:rsidR="00294A40" w:rsidRPr="00294A40" w:rsidTr="00251FBD">
        <w:trPr>
          <w:trHeight w:hRule="exact" w:val="245"/>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DN 315</w:t>
            </w:r>
          </w:p>
        </w:tc>
        <w:tc>
          <w:tcPr>
            <w:tcW w:w="1686" w:type="dxa"/>
            <w:tcBorders>
              <w:top w:val="nil"/>
              <w:left w:val="nil"/>
              <w:bottom w:val="single" w:sz="4" w:space="0" w:color="auto"/>
              <w:right w:val="single" w:sz="4" w:space="0" w:color="auto"/>
            </w:tcBorders>
            <w:shd w:val="clear" w:color="auto" w:fill="auto"/>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12"</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4.2</w:t>
            </w:r>
          </w:p>
        </w:tc>
        <w:tc>
          <w:tcPr>
            <w:tcW w:w="104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5.8</w:t>
            </w:r>
          </w:p>
        </w:tc>
        <w:tc>
          <w:tcPr>
            <w:tcW w:w="1360"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0.1654</w:t>
            </w:r>
          </w:p>
        </w:tc>
        <w:tc>
          <w:tcPr>
            <w:tcW w:w="1984" w:type="dxa"/>
            <w:tcBorders>
              <w:top w:val="nil"/>
              <w:left w:val="nil"/>
              <w:bottom w:val="single" w:sz="4" w:space="0" w:color="auto"/>
              <w:right w:val="single" w:sz="4" w:space="0" w:color="auto"/>
            </w:tcBorders>
            <w:shd w:val="clear" w:color="000000" w:fill="FDE9D9"/>
            <w:noWrap/>
            <w:vAlign w:val="center"/>
            <w:hideMark/>
          </w:tcPr>
          <w:p w:rsidR="00294A40" w:rsidRPr="00294A40" w:rsidRDefault="00294A40" w:rsidP="00251FBD">
            <w:pPr>
              <w:jc w:val="center"/>
              <w:rPr>
                <w:rFonts w:ascii="Century Gothic" w:hAnsi="Century Gothic"/>
                <w:color w:val="000000"/>
              </w:rPr>
            </w:pPr>
            <w:r w:rsidRPr="00294A40">
              <w:rPr>
                <w:rFonts w:ascii="Century Gothic" w:hAnsi="Century Gothic"/>
                <w:color w:val="000000"/>
              </w:rPr>
              <w:t>0.2283</w:t>
            </w:r>
          </w:p>
        </w:tc>
      </w:tr>
    </w:tbl>
    <w:p w:rsidR="00294A40" w:rsidRPr="00294A40" w:rsidRDefault="00294A40" w:rsidP="00294A40">
      <w:pPr>
        <w:autoSpaceDE w:val="0"/>
        <w:autoSpaceDN w:val="0"/>
        <w:adjustRightInd w:val="0"/>
        <w:rPr>
          <w:rFonts w:ascii="Century Gothic" w:hAnsi="Century Gothic" w:cs="Arial"/>
          <w:color w:val="231F20"/>
        </w:rPr>
      </w:pP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F. All systems components such as vent supports, roof or wall penetrations, terminations, appliance connectors and drain fittings required to install the vent system shall be UL/cUL listed and provided by the vent manufacturer.</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G. All systems components shall include a factory- installed gasket in their female-end to render the vent air and water tight when the male/female ends are pushed together as per manufacturer’s instructions. Vent systems requiring field installed sealants or compounds shall not be acceptable.</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H. Vent layout shall be designed and installed in compliance with manufacturer’s installation instructions and all applicable local codes.</w:t>
      </w:r>
    </w:p>
    <w:p w:rsidR="00294A40" w:rsidRPr="00294A40" w:rsidRDefault="00294A40" w:rsidP="00294A40">
      <w:pPr>
        <w:autoSpaceDE w:val="0"/>
        <w:autoSpaceDN w:val="0"/>
        <w:adjustRightInd w:val="0"/>
        <w:rPr>
          <w:rFonts w:ascii="Century Gothic" w:hAnsi="Century Gothic" w:cs="Arial"/>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2.2 AVAILABLE MANUFACTURERS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Vent shall be InnoFlue® manufactured by Centrotherm.</w:t>
      </w:r>
    </w:p>
    <w:p w:rsidR="00294A40" w:rsidRPr="00294A40" w:rsidRDefault="00294A40" w:rsidP="00294A40">
      <w:pPr>
        <w:autoSpaceDE w:val="0"/>
        <w:autoSpaceDN w:val="0"/>
        <w:adjustRightInd w:val="0"/>
        <w:rPr>
          <w:rFonts w:ascii="Century Gothic" w:hAnsi="Century Gothic" w:cs="Arial"/>
          <w:color w:val="231F20"/>
        </w:rPr>
      </w:pPr>
    </w:p>
    <w:p w:rsidR="00294A40" w:rsidRPr="00294A40" w:rsidRDefault="00294A40" w:rsidP="00294A40">
      <w:pPr>
        <w:autoSpaceDE w:val="0"/>
        <w:autoSpaceDN w:val="0"/>
        <w:adjustRightInd w:val="0"/>
        <w:rPr>
          <w:rFonts w:ascii="Century Gothic" w:hAnsi="Century Gothic" w:cs="Arial"/>
          <w:b/>
          <w:bCs/>
          <w:color w:val="231F20"/>
          <w:sz w:val="24"/>
          <w:szCs w:val="24"/>
        </w:rPr>
      </w:pPr>
      <w:r w:rsidRPr="00294A40">
        <w:rPr>
          <w:rFonts w:ascii="Century Gothic" w:hAnsi="Century Gothic" w:cs="Arial"/>
          <w:b/>
          <w:bCs/>
          <w:color w:val="231F20"/>
          <w:sz w:val="24"/>
          <w:szCs w:val="24"/>
        </w:rPr>
        <w:t>PART 3 EXECUTION</w:t>
      </w:r>
    </w:p>
    <w:p w:rsidR="00294A40" w:rsidRPr="00294A40" w:rsidRDefault="00294A40" w:rsidP="00294A40">
      <w:pPr>
        <w:autoSpaceDE w:val="0"/>
        <w:autoSpaceDN w:val="0"/>
        <w:adjustRightInd w:val="0"/>
        <w:rPr>
          <w:rFonts w:ascii="Century Gothic" w:hAnsi="Century Gothic" w:cs="Arial"/>
          <w:b/>
          <w:bCs/>
          <w:color w:val="231F20"/>
          <w:sz w:val="24"/>
          <w:szCs w:val="24"/>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3.01 VENT SYSTEM LAYOUT</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A. The vent system shall be routed for zero clearance to combustibles as specified by the manufacturer.</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B. Vent Installation shall conform to the manufacturer’s installation instructions, its UL/cUL listing and state/local codes</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C. The vent system and breechings shall be inspected and cleaned before the final connection to the appliances.</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b/>
          <w:bCs/>
          <w:color w:val="231F20"/>
        </w:rPr>
      </w:pPr>
      <w:r w:rsidRPr="00294A40">
        <w:rPr>
          <w:rFonts w:ascii="Century Gothic" w:hAnsi="Century Gothic" w:cs="Arial"/>
          <w:b/>
          <w:bCs/>
          <w:color w:val="231F20"/>
        </w:rPr>
        <w:t>3.02 MECHANICAL EQUIPMENT</w:t>
      </w:r>
    </w:p>
    <w:p w:rsidR="00294A40" w:rsidRPr="00294A40" w:rsidRDefault="00294A40" w:rsidP="00294A40">
      <w:pPr>
        <w:autoSpaceDE w:val="0"/>
        <w:autoSpaceDN w:val="0"/>
        <w:adjustRightInd w:val="0"/>
        <w:rPr>
          <w:rFonts w:ascii="Century Gothic" w:hAnsi="Century Gothic" w:cs="Arial"/>
          <w:b/>
          <w:bCs/>
          <w:color w:val="231F20"/>
        </w:rPr>
      </w:pP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A. If dampers or fans are installed in conjunction with the vent system, such equipment shall be supported</w:t>
      </w:r>
    </w:p>
    <w:p w:rsidR="00294A40" w:rsidRPr="00294A40" w:rsidRDefault="00294A40" w:rsidP="00294A40">
      <w:pPr>
        <w:autoSpaceDE w:val="0"/>
        <w:autoSpaceDN w:val="0"/>
        <w:adjustRightInd w:val="0"/>
        <w:rPr>
          <w:rFonts w:ascii="Century Gothic" w:hAnsi="Century Gothic" w:cs="Arial"/>
          <w:color w:val="231F20"/>
        </w:rPr>
      </w:pPr>
      <w:r w:rsidRPr="00294A40">
        <w:rPr>
          <w:rFonts w:ascii="Century Gothic" w:hAnsi="Century Gothic" w:cs="Arial"/>
          <w:color w:val="231F20"/>
        </w:rPr>
        <w:t>independently from the vent system. Protect vent system from twisting or movement due to fan torque or vibration.</w:t>
      </w:r>
      <w:bookmarkStart w:id="0" w:name="_GoBack"/>
      <w:bookmarkEnd w:id="0"/>
    </w:p>
    <w:sectPr w:rsidR="00294A40" w:rsidRPr="00294A40" w:rsidSect="00845DEC">
      <w:headerReference w:type="even" r:id="rId8"/>
      <w:headerReference w:type="default" r:id="rId9"/>
      <w:footerReference w:type="even" r:id="rId10"/>
      <w:footerReference w:type="default" r:id="rId11"/>
      <w:headerReference w:type="first" r:id="rId12"/>
      <w:footerReference w:type="first" r:id="rId13"/>
      <w:pgSz w:w="11907" w:h="16840" w:code="9"/>
      <w:pgMar w:top="2835" w:right="907" w:bottom="1985" w:left="907" w:header="425" w:footer="7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0F3" w:rsidRDefault="00ED60F3">
      <w:r>
        <w:separator/>
      </w:r>
    </w:p>
  </w:endnote>
  <w:endnote w:type="continuationSeparator" w:id="0">
    <w:p w:rsidR="00ED60F3" w:rsidRDefault="00ED6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icksand">
    <w:altName w:val="Courier New"/>
    <w:charset w:val="00"/>
    <w:family w:val="auto"/>
    <w:pitch w:val="variable"/>
    <w:sig w:usb0="00000001"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Noto Sans CJK SC Regular">
    <w:panose1 w:val="00000000000000000000"/>
    <w:charset w:val="80"/>
    <w:family w:val="swiss"/>
    <w:notTrueType/>
    <w:pitch w:val="variable"/>
    <w:sig w:usb0="30000207" w:usb1="2BDF3C10" w:usb2="00000016" w:usb3="00000000" w:csb0="002E0107"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69" w:rsidRDefault="00267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21A" w:rsidRDefault="0040621A" w:rsidP="001F0492">
    <w:pPr>
      <w:pStyle w:val="Footer"/>
      <w:jc w:val="right"/>
      <w:rPr>
        <w:rFonts w:ascii="Century Gothic" w:hAnsi="Century Gothic"/>
        <w:b/>
        <w:bCs/>
        <w:sz w:val="16"/>
        <w:szCs w:val="16"/>
      </w:rPr>
    </w:pPr>
  </w:p>
  <w:p w:rsidR="001F0492" w:rsidRDefault="001F0492" w:rsidP="001F0492">
    <w:pPr>
      <w:pStyle w:val="Footer"/>
      <w:jc w:val="right"/>
      <w:rPr>
        <w:rFonts w:ascii="Century Gothic" w:hAnsi="Century Gothic"/>
        <w:bCs/>
        <w:sz w:val="16"/>
        <w:szCs w:val="16"/>
      </w:rPr>
    </w:pPr>
    <w:r w:rsidRPr="001F0492">
      <w:rPr>
        <w:rFonts w:ascii="Century Gothic" w:hAnsi="Century Gothic"/>
        <w:b/>
        <w:bCs/>
        <w:sz w:val="16"/>
        <w:szCs w:val="16"/>
      </w:rPr>
      <w:fldChar w:fldCharType="begin"/>
    </w:r>
    <w:r w:rsidRPr="001F0492">
      <w:rPr>
        <w:rFonts w:ascii="Century Gothic" w:hAnsi="Century Gothic"/>
        <w:b/>
        <w:bCs/>
        <w:sz w:val="16"/>
        <w:szCs w:val="16"/>
      </w:rPr>
      <w:instrText xml:space="preserve"> PAGE </w:instrText>
    </w:r>
    <w:r w:rsidRPr="001F0492">
      <w:rPr>
        <w:rFonts w:ascii="Century Gothic" w:hAnsi="Century Gothic"/>
        <w:b/>
        <w:bCs/>
        <w:sz w:val="16"/>
        <w:szCs w:val="16"/>
      </w:rPr>
      <w:fldChar w:fldCharType="separate"/>
    </w:r>
    <w:r w:rsidR="00294A40">
      <w:rPr>
        <w:rFonts w:ascii="Century Gothic" w:hAnsi="Century Gothic"/>
        <w:b/>
        <w:bCs/>
        <w:noProof/>
        <w:sz w:val="16"/>
        <w:szCs w:val="16"/>
      </w:rPr>
      <w:t>2</w:t>
    </w:r>
    <w:r w:rsidRPr="001F0492">
      <w:rPr>
        <w:rFonts w:ascii="Century Gothic" w:hAnsi="Century Gothic"/>
        <w:b/>
        <w:bCs/>
        <w:sz w:val="16"/>
        <w:szCs w:val="16"/>
      </w:rPr>
      <w:fldChar w:fldCharType="end"/>
    </w:r>
    <w:r w:rsidRPr="001F0492">
      <w:rPr>
        <w:rFonts w:ascii="Century Gothic" w:hAnsi="Century Gothic"/>
        <w:sz w:val="16"/>
        <w:szCs w:val="16"/>
      </w:rPr>
      <w:t xml:space="preserve"> | </w:t>
    </w:r>
    <w:r w:rsidRPr="001F0492">
      <w:rPr>
        <w:rFonts w:ascii="Century Gothic" w:hAnsi="Century Gothic"/>
        <w:bCs/>
        <w:sz w:val="16"/>
        <w:szCs w:val="16"/>
      </w:rPr>
      <w:fldChar w:fldCharType="begin"/>
    </w:r>
    <w:r w:rsidRPr="001F0492">
      <w:rPr>
        <w:rFonts w:ascii="Century Gothic" w:hAnsi="Century Gothic"/>
        <w:bCs/>
        <w:sz w:val="16"/>
        <w:szCs w:val="16"/>
      </w:rPr>
      <w:instrText xml:space="preserve"> NUMPAGES  </w:instrText>
    </w:r>
    <w:r w:rsidRPr="001F0492">
      <w:rPr>
        <w:rFonts w:ascii="Century Gothic" w:hAnsi="Century Gothic"/>
        <w:bCs/>
        <w:sz w:val="16"/>
        <w:szCs w:val="16"/>
      </w:rPr>
      <w:fldChar w:fldCharType="separate"/>
    </w:r>
    <w:r w:rsidR="00294A40">
      <w:rPr>
        <w:rFonts w:ascii="Century Gothic" w:hAnsi="Century Gothic"/>
        <w:bCs/>
        <w:noProof/>
        <w:sz w:val="16"/>
        <w:szCs w:val="16"/>
      </w:rPr>
      <w:t>2</w:t>
    </w:r>
    <w:r w:rsidRPr="001F0492">
      <w:rPr>
        <w:rFonts w:ascii="Century Gothic" w:hAnsi="Century Gothic"/>
        <w:bCs/>
        <w:sz w:val="16"/>
        <w:szCs w:val="16"/>
      </w:rPr>
      <w:fldChar w:fldCharType="end"/>
    </w:r>
  </w:p>
  <w:p w:rsidR="0040621A" w:rsidRDefault="0040621A" w:rsidP="0040621A">
    <w:pPr>
      <w:pStyle w:val="Footer"/>
      <w:rPr>
        <w:rFonts w:ascii="Century Gothic" w:hAnsi="Century Gothic"/>
        <w:bCs/>
        <w:sz w:val="16"/>
        <w:szCs w:val="16"/>
      </w:rPr>
    </w:pPr>
  </w:p>
  <w:p w:rsidR="001F0492" w:rsidRPr="001F0492" w:rsidRDefault="0040621A" w:rsidP="001F0492">
    <w:pPr>
      <w:pStyle w:val="Footer"/>
      <w:jc w:val="right"/>
      <w:rPr>
        <w:rFonts w:ascii="Century Gothic" w:hAnsi="Century Gothic"/>
        <w:bCs/>
        <w:sz w:val="16"/>
        <w:szCs w:val="16"/>
      </w:rPr>
    </w:pPr>
    <w:r>
      <w:rPr>
        <w:rFonts w:ascii="Century Gothic" w:hAnsi="Century Gothic"/>
        <w:bCs/>
        <w:noProof/>
        <w:sz w:val="16"/>
        <w:szCs w:val="16"/>
        <w:lang w:val="en-US" w:eastAsia="en-US"/>
      </w:rPr>
      <w:drawing>
        <wp:inline distT="0" distB="0" distL="0" distR="0">
          <wp:extent cx="7009539" cy="49448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rotherm_Template-Word-Letter-page2.jpg"/>
                  <pic:cNvPicPr/>
                </pic:nvPicPr>
                <pic:blipFill>
                  <a:blip r:embed="rId1">
                    <a:extLst>
                      <a:ext uri="{28A0092B-C50C-407E-A947-70E740481C1C}">
                        <a14:useLocalDpi xmlns:a14="http://schemas.microsoft.com/office/drawing/2010/main" val="0"/>
                      </a:ext>
                    </a:extLst>
                  </a:blip>
                  <a:stretch>
                    <a:fillRect/>
                  </a:stretch>
                </pic:blipFill>
                <pic:spPr>
                  <a:xfrm>
                    <a:off x="0" y="0"/>
                    <a:ext cx="7235264" cy="510403"/>
                  </a:xfrm>
                  <a:prstGeom prst="rect">
                    <a:avLst/>
                  </a:prstGeom>
                </pic:spPr>
              </pic:pic>
            </a:graphicData>
          </a:graphic>
        </wp:inline>
      </w:drawing>
    </w:r>
  </w:p>
  <w:p w:rsidR="001F0492" w:rsidRPr="001F0492" w:rsidRDefault="001F0492" w:rsidP="001F0492">
    <w:pPr>
      <w:pStyle w:val="Footer"/>
      <w:jc w:val="right"/>
      <w:rPr>
        <w:rFonts w:ascii="Century Gothic" w:hAnsi="Century Gothic"/>
        <w:bCs/>
        <w:sz w:val="16"/>
        <w:szCs w:val="16"/>
      </w:rPr>
    </w:pPr>
  </w:p>
  <w:p w:rsidR="001F0492" w:rsidRPr="001F0492" w:rsidRDefault="001F0492" w:rsidP="001F0492">
    <w:pPr>
      <w:pStyle w:val="Footer"/>
      <w:jc w:val="right"/>
      <w:rPr>
        <w:rFonts w:ascii="Century Gothic" w:hAnsi="Century Gothic"/>
        <w:bCs/>
        <w:sz w:val="16"/>
        <w:szCs w:val="16"/>
      </w:rPr>
    </w:pPr>
  </w:p>
  <w:p w:rsidR="001F0492" w:rsidRPr="001F0492" w:rsidRDefault="001F0492" w:rsidP="001F0492">
    <w:pPr>
      <w:pStyle w:val="Footer"/>
      <w:jc w:val="right"/>
      <w:rPr>
        <w:rFonts w:ascii="Century Gothic" w:hAnsi="Century Gothic"/>
        <w:bCs/>
        <w:sz w:val="16"/>
        <w:szCs w:val="16"/>
      </w:rPr>
    </w:pPr>
  </w:p>
  <w:p w:rsidR="001F0492" w:rsidRPr="001F0492" w:rsidRDefault="001F0492">
    <w:pPr>
      <w:pStyle w:val="Footer"/>
      <w:rPr>
        <w:rFonts w:ascii="Century Gothic" w:hAnsi="Century Gothic"/>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Quicksand" w:hAnsi="Quicksand"/>
        <w:sz w:val="16"/>
        <w:szCs w:val="16"/>
      </w:rPr>
      <w:id w:val="1232500532"/>
      <w:docPartObj>
        <w:docPartGallery w:val="Page Numbers (Top of Page)"/>
        <w:docPartUnique/>
      </w:docPartObj>
    </w:sdtPr>
    <w:sdtEndPr/>
    <w:sdtContent>
      <w:p w:rsidR="00845DEC" w:rsidRDefault="001F0492" w:rsidP="00845DEC">
        <w:pPr>
          <w:pStyle w:val="Footer"/>
          <w:pBdr>
            <w:bottom w:val="single" w:sz="12" w:space="1" w:color="auto"/>
          </w:pBdr>
          <w:jc w:val="right"/>
          <w:rPr>
            <w:rFonts w:ascii="Century Gothic" w:hAnsi="Century Gothic"/>
            <w:bCs/>
            <w:sz w:val="16"/>
            <w:szCs w:val="16"/>
          </w:rPr>
        </w:pPr>
        <w:r w:rsidRPr="001F0492">
          <w:rPr>
            <w:rFonts w:ascii="Century Gothic" w:hAnsi="Century Gothic"/>
            <w:b/>
            <w:bCs/>
            <w:sz w:val="16"/>
            <w:szCs w:val="16"/>
          </w:rPr>
          <w:fldChar w:fldCharType="begin"/>
        </w:r>
        <w:r w:rsidRPr="001F0492">
          <w:rPr>
            <w:rFonts w:ascii="Century Gothic" w:hAnsi="Century Gothic"/>
            <w:b/>
            <w:bCs/>
            <w:sz w:val="16"/>
            <w:szCs w:val="16"/>
          </w:rPr>
          <w:instrText xml:space="preserve"> PAGE </w:instrText>
        </w:r>
        <w:r w:rsidRPr="001F0492">
          <w:rPr>
            <w:rFonts w:ascii="Century Gothic" w:hAnsi="Century Gothic"/>
            <w:b/>
            <w:bCs/>
            <w:sz w:val="16"/>
            <w:szCs w:val="16"/>
          </w:rPr>
          <w:fldChar w:fldCharType="separate"/>
        </w:r>
        <w:r w:rsidR="00294A40">
          <w:rPr>
            <w:rFonts w:ascii="Century Gothic" w:hAnsi="Century Gothic"/>
            <w:b/>
            <w:bCs/>
            <w:noProof/>
            <w:sz w:val="16"/>
            <w:szCs w:val="16"/>
          </w:rPr>
          <w:t>1</w:t>
        </w:r>
        <w:r w:rsidRPr="001F0492">
          <w:rPr>
            <w:rFonts w:ascii="Century Gothic" w:hAnsi="Century Gothic"/>
            <w:b/>
            <w:bCs/>
            <w:sz w:val="16"/>
            <w:szCs w:val="16"/>
          </w:rPr>
          <w:fldChar w:fldCharType="end"/>
        </w:r>
        <w:r w:rsidRPr="001F0492">
          <w:rPr>
            <w:rFonts w:ascii="Century Gothic" w:hAnsi="Century Gothic"/>
            <w:sz w:val="16"/>
            <w:szCs w:val="16"/>
          </w:rPr>
          <w:t xml:space="preserve"> | </w:t>
        </w:r>
        <w:r w:rsidRPr="001F0492">
          <w:rPr>
            <w:rFonts w:ascii="Century Gothic" w:hAnsi="Century Gothic"/>
            <w:bCs/>
            <w:sz w:val="16"/>
            <w:szCs w:val="16"/>
          </w:rPr>
          <w:fldChar w:fldCharType="begin"/>
        </w:r>
        <w:r w:rsidRPr="001F0492">
          <w:rPr>
            <w:rFonts w:ascii="Century Gothic" w:hAnsi="Century Gothic"/>
            <w:bCs/>
            <w:sz w:val="16"/>
            <w:szCs w:val="16"/>
          </w:rPr>
          <w:instrText xml:space="preserve"> NUMPAGES  </w:instrText>
        </w:r>
        <w:r w:rsidRPr="001F0492">
          <w:rPr>
            <w:rFonts w:ascii="Century Gothic" w:hAnsi="Century Gothic"/>
            <w:bCs/>
            <w:sz w:val="16"/>
            <w:szCs w:val="16"/>
          </w:rPr>
          <w:fldChar w:fldCharType="separate"/>
        </w:r>
        <w:r w:rsidR="00294A40">
          <w:rPr>
            <w:rFonts w:ascii="Century Gothic" w:hAnsi="Century Gothic"/>
            <w:bCs/>
            <w:noProof/>
            <w:sz w:val="16"/>
            <w:szCs w:val="16"/>
          </w:rPr>
          <w:t>2</w:t>
        </w:r>
        <w:r w:rsidRPr="001F0492">
          <w:rPr>
            <w:rFonts w:ascii="Century Gothic" w:hAnsi="Century Gothic"/>
            <w:bCs/>
            <w:sz w:val="16"/>
            <w:szCs w:val="16"/>
          </w:rPr>
          <w:fldChar w:fldCharType="end"/>
        </w:r>
      </w:p>
      <w:p w:rsidR="00845DEC" w:rsidRPr="00845DEC" w:rsidRDefault="00ED60F3" w:rsidP="00845DEC">
        <w:pPr>
          <w:pStyle w:val="Footer"/>
          <w:pBdr>
            <w:bottom w:val="single" w:sz="12" w:space="1" w:color="auto"/>
          </w:pBdr>
          <w:jc w:val="right"/>
          <w:rPr>
            <w:rFonts w:ascii="Century Gothic" w:hAnsi="Century Gothic"/>
            <w:bCs/>
            <w:sz w:val="16"/>
            <w:szCs w:val="16"/>
          </w:rPr>
        </w:pPr>
      </w:p>
    </w:sdtContent>
  </w:sdt>
  <w:p w:rsidR="00845DEC" w:rsidRPr="00845DEC" w:rsidRDefault="00845DEC" w:rsidP="00845DEC">
    <w:pPr>
      <w:pStyle w:val="Footer"/>
      <w:jc w:val="right"/>
      <w:rPr>
        <w:rFonts w:ascii="Century Gothic" w:hAnsi="Century Gothic"/>
        <w:color w:val="404040" w:themeColor="text1" w:themeTint="BF"/>
        <w:sz w:val="16"/>
        <w:szCs w:val="16"/>
      </w:rPr>
    </w:pPr>
    <w:r w:rsidRPr="00845DEC">
      <w:rPr>
        <w:rFonts w:ascii="Century Gothic" w:hAnsi="Century Gothic"/>
        <w:color w:val="404040" w:themeColor="text1" w:themeTint="BF"/>
        <w:sz w:val="16"/>
        <w:szCs w:val="16"/>
      </w:rPr>
      <w:t xml:space="preserve"> Centrotherm Eco Systems</w:t>
    </w:r>
    <w:r>
      <w:rPr>
        <w:rFonts w:ascii="Century Gothic" w:hAnsi="Century Gothic"/>
        <w:color w:val="404040" w:themeColor="text1" w:themeTint="BF"/>
        <w:sz w:val="16"/>
        <w:szCs w:val="16"/>
      </w:rPr>
      <w:t xml:space="preserve"> </w:t>
    </w:r>
    <w:r w:rsidRPr="00845DEC">
      <w:rPr>
        <w:rFonts w:ascii="Century Gothic" w:hAnsi="Century Gothic"/>
        <w:color w:val="404040" w:themeColor="text1" w:themeTint="BF"/>
        <w:sz w:val="16"/>
        <w:szCs w:val="16"/>
      </w:rPr>
      <w:t xml:space="preserve"> </w:t>
    </w:r>
    <w:r w:rsidRPr="00FA4F93">
      <w:rPr>
        <w:rFonts w:ascii="Century Gothic" w:hAnsi="Century Gothic"/>
        <w:color w:val="000000" w:themeColor="text1"/>
      </w:rPr>
      <w:t>•</w:t>
    </w:r>
    <w:r>
      <w:rPr>
        <w:rFonts w:ascii="Century Gothic" w:hAnsi="Century Gothic"/>
        <w:color w:val="000000" w:themeColor="text1"/>
      </w:rPr>
      <w:t xml:space="preserve"> </w:t>
    </w:r>
    <w:r w:rsidRPr="00845DEC">
      <w:rPr>
        <w:rFonts w:ascii="Century Gothic" w:hAnsi="Century Gothic"/>
        <w:color w:val="404040" w:themeColor="text1" w:themeTint="BF"/>
        <w:sz w:val="16"/>
        <w:szCs w:val="16"/>
      </w:rPr>
      <w:t xml:space="preserve"> </w:t>
    </w:r>
    <w:hyperlink r:id="rId1" w:history="1">
      <w:r w:rsidRPr="00845DEC">
        <w:rPr>
          <w:rStyle w:val="Hyperlink"/>
          <w:rFonts w:ascii="Century Gothic" w:hAnsi="Century Gothic"/>
          <w:color w:val="404040" w:themeColor="text1" w:themeTint="BF"/>
          <w:sz w:val="16"/>
          <w:szCs w:val="16"/>
        </w:rPr>
        <w:t>www.centrotherm.us.com</w:t>
      </w:r>
    </w:hyperlink>
    <w:r w:rsidRPr="00845DEC">
      <w:rPr>
        <w:rFonts w:ascii="Century Gothic" w:hAnsi="Century Gothic"/>
        <w:color w:val="404040" w:themeColor="text1" w:themeTint="BF"/>
        <w:sz w:val="16"/>
        <w:szCs w:val="16"/>
      </w:rPr>
      <w:t xml:space="preserve"> </w:t>
    </w:r>
    <w:r>
      <w:rPr>
        <w:rFonts w:ascii="Century Gothic" w:hAnsi="Century Gothic"/>
        <w:color w:val="404040" w:themeColor="text1" w:themeTint="BF"/>
        <w:sz w:val="16"/>
        <w:szCs w:val="16"/>
      </w:rPr>
      <w:t xml:space="preserve"> </w:t>
    </w:r>
    <w:r w:rsidRPr="00FA4F93">
      <w:rPr>
        <w:rFonts w:ascii="Century Gothic" w:hAnsi="Century Gothic"/>
        <w:color w:val="000000" w:themeColor="text1"/>
      </w:rPr>
      <w:t>•</w:t>
    </w:r>
    <w:r>
      <w:rPr>
        <w:rFonts w:ascii="Century Gothic" w:hAnsi="Century Gothic"/>
        <w:color w:val="000000" w:themeColor="text1"/>
      </w:rPr>
      <w:t xml:space="preserve"> </w:t>
    </w:r>
    <w:r w:rsidRPr="00845DEC">
      <w:rPr>
        <w:rFonts w:ascii="Century Gothic" w:hAnsi="Century Gothic"/>
        <w:color w:val="404040" w:themeColor="text1" w:themeTint="BF"/>
        <w:sz w:val="16"/>
        <w:szCs w:val="16"/>
      </w:rPr>
      <w:t xml:space="preserve"> info@centrotherm.us.com</w:t>
    </w:r>
  </w:p>
  <w:p w:rsidR="001F0492" w:rsidRPr="002903A7" w:rsidRDefault="001F0492" w:rsidP="00845DEC">
    <w:pPr>
      <w:pStyle w:val="Footer"/>
      <w:rPr>
        <w:rFonts w:ascii="Quicksand" w:hAnsi="Quicksand"/>
        <w:sz w:val="16"/>
        <w:szCs w:val="16"/>
      </w:rPr>
    </w:pPr>
  </w:p>
  <w:p w:rsidR="007816D8" w:rsidRPr="00917BC2" w:rsidRDefault="007816D8" w:rsidP="001C0030">
    <w:pPr>
      <w:pStyle w:val="Footer"/>
      <w:rPr>
        <w:color w:val="595959" w:themeColor="text1" w:themeTint="A6"/>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0F3" w:rsidRDefault="00ED60F3">
      <w:r>
        <w:separator/>
      </w:r>
    </w:p>
  </w:footnote>
  <w:footnote w:type="continuationSeparator" w:id="0">
    <w:p w:rsidR="00ED60F3" w:rsidRDefault="00ED6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E69" w:rsidRDefault="00267E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C2A" w:rsidRDefault="001F0492">
    <w:pPr>
      <w:pStyle w:val="Header"/>
    </w:pPr>
    <w:r>
      <w:rPr>
        <w:noProof/>
        <w:lang w:val="en-US" w:eastAsia="en-US"/>
      </w:rPr>
      <w:drawing>
        <wp:anchor distT="0" distB="0" distL="114300" distR="114300" simplePos="0" relativeHeight="251673600" behindDoc="0" locked="0" layoutInCell="1" allowOverlap="1">
          <wp:simplePos x="0" y="0"/>
          <wp:positionH relativeFrom="column">
            <wp:posOffset>3853180</wp:posOffset>
          </wp:positionH>
          <wp:positionV relativeFrom="paragraph">
            <wp:posOffset>-250825</wp:posOffset>
          </wp:positionV>
          <wp:extent cx="3108960" cy="1414272"/>
          <wp:effectExtent l="0" t="0" r="0" b="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ght-top-logo-page2.jpg"/>
                  <pic:cNvPicPr/>
                </pic:nvPicPr>
                <pic:blipFill>
                  <a:blip r:embed="rId1">
                    <a:extLst>
                      <a:ext uri="{28A0092B-C50C-407E-A947-70E740481C1C}">
                        <a14:useLocalDpi xmlns:a14="http://schemas.microsoft.com/office/drawing/2010/main" val="0"/>
                      </a:ext>
                    </a:extLst>
                  </a:blip>
                  <a:stretch>
                    <a:fillRect/>
                  </a:stretch>
                </pic:blipFill>
                <pic:spPr>
                  <a:xfrm>
                    <a:off x="0" y="0"/>
                    <a:ext cx="3108960" cy="141427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5230" w:type="dxa"/>
      <w:tblLayout w:type="fixed"/>
      <w:tblCellMar>
        <w:left w:w="70" w:type="dxa"/>
        <w:right w:w="70" w:type="dxa"/>
      </w:tblCellMar>
      <w:tblLook w:val="0000" w:firstRow="0" w:lastRow="0" w:firstColumn="0" w:lastColumn="0" w:noHBand="0" w:noVBand="0"/>
    </w:tblPr>
    <w:tblGrid>
      <w:gridCol w:w="15230"/>
    </w:tblGrid>
    <w:tr w:rsidR="003038A5" w:rsidRPr="00FA4F93" w:rsidTr="00DB52A8">
      <w:trPr>
        <w:trHeight w:val="276"/>
      </w:trPr>
      <w:tc>
        <w:tcPr>
          <w:tcW w:w="4984" w:type="dxa"/>
        </w:tcPr>
        <w:p w:rsidR="003038A5" w:rsidRPr="00FA4F93" w:rsidRDefault="003038A5" w:rsidP="003038A5">
          <w:pPr>
            <w:spacing w:line="360" w:lineRule="auto"/>
            <w:rPr>
              <w:rFonts w:ascii="Century Gothic" w:hAnsi="Century Gothic"/>
              <w:color w:val="000000" w:themeColor="text1"/>
            </w:rPr>
          </w:pPr>
        </w:p>
      </w:tc>
    </w:tr>
    <w:tr w:rsidR="003038A5" w:rsidRPr="00FA4F93" w:rsidTr="003038A5">
      <w:trPr>
        <w:trHeight w:val="80"/>
      </w:trPr>
      <w:tc>
        <w:tcPr>
          <w:tcW w:w="4984" w:type="dxa"/>
        </w:tcPr>
        <w:p w:rsidR="003038A5" w:rsidRPr="00FA4F93" w:rsidRDefault="003038A5" w:rsidP="003038A5">
          <w:pPr>
            <w:spacing w:line="276" w:lineRule="auto"/>
            <w:rPr>
              <w:rFonts w:ascii="Century Gothic" w:hAnsi="Century Gothic"/>
              <w:b/>
              <w:color w:val="000000" w:themeColor="text1"/>
            </w:rPr>
          </w:pPr>
          <w:r w:rsidRPr="00FA4F93">
            <w:rPr>
              <w:rFonts w:ascii="Century Gothic" w:hAnsi="Century Gothic"/>
              <w:b/>
              <w:color w:val="000000" w:themeColor="text1"/>
            </w:rPr>
            <w:t xml:space="preserve">Centrotherm </w:t>
          </w:r>
          <w:r>
            <w:rPr>
              <w:rFonts w:ascii="Century Gothic" w:hAnsi="Century Gothic"/>
              <w:b/>
              <w:color w:val="000000" w:themeColor="text1"/>
            </w:rPr>
            <w:t>Eco Systems</w:t>
          </w:r>
        </w:p>
        <w:p w:rsidR="003038A5" w:rsidRPr="00FA4F93" w:rsidRDefault="003038A5" w:rsidP="003038A5">
          <w:pPr>
            <w:spacing w:line="276" w:lineRule="auto"/>
            <w:ind w:right="258"/>
            <w:rPr>
              <w:rFonts w:ascii="Century Gothic" w:hAnsi="Century Gothic"/>
              <w:color w:val="000000" w:themeColor="text1"/>
            </w:rPr>
          </w:pPr>
          <w:r>
            <w:rPr>
              <w:rFonts w:ascii="Century Gothic" w:hAnsi="Century Gothic"/>
              <w:color w:val="000000" w:themeColor="text1"/>
            </w:rPr>
            <w:t>www.centrotherm.us.com</w:t>
          </w:r>
          <w:r w:rsidRPr="00FA4F93">
            <w:rPr>
              <w:rFonts w:ascii="Century Gothic" w:hAnsi="Century Gothic"/>
              <w:color w:val="000000" w:themeColor="text1"/>
            </w:rPr>
            <w:t xml:space="preserve">  •  </w:t>
          </w:r>
          <w:r>
            <w:rPr>
              <w:rFonts w:ascii="Century Gothic" w:hAnsi="Century Gothic"/>
              <w:color w:val="000000" w:themeColor="text1"/>
            </w:rPr>
            <w:t>518.434.3400</w:t>
          </w:r>
        </w:p>
      </w:tc>
    </w:tr>
  </w:tbl>
  <w:p w:rsidR="007816D8" w:rsidRDefault="003038A5">
    <w:pPr>
      <w:pStyle w:val="Header"/>
    </w:pPr>
    <w:r>
      <w:rPr>
        <w:noProof/>
        <w:lang w:val="en-US" w:eastAsia="en-US"/>
      </w:rPr>
      <w:drawing>
        <wp:anchor distT="0" distB="0" distL="114300" distR="114300" simplePos="0" relativeHeight="251671552" behindDoc="0" locked="0" layoutInCell="1" allowOverlap="1">
          <wp:simplePos x="0" y="0"/>
          <wp:positionH relativeFrom="page">
            <wp:align>right</wp:align>
          </wp:positionH>
          <wp:positionV relativeFrom="paragraph">
            <wp:posOffset>-850900</wp:posOffset>
          </wp:positionV>
          <wp:extent cx="2218944" cy="2206752"/>
          <wp:effectExtent l="0" t="0" r="0" b="317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ght-top-logo.jpg"/>
                  <pic:cNvPicPr/>
                </pic:nvPicPr>
                <pic:blipFill>
                  <a:blip r:embed="rId1">
                    <a:extLst>
                      <a:ext uri="{28A0092B-C50C-407E-A947-70E740481C1C}">
                        <a14:useLocalDpi xmlns:a14="http://schemas.microsoft.com/office/drawing/2010/main" val="0"/>
                      </a:ext>
                    </a:extLst>
                  </a:blip>
                  <a:stretch>
                    <a:fillRect/>
                  </a:stretch>
                </pic:blipFill>
                <pic:spPr>
                  <a:xfrm>
                    <a:off x="0" y="0"/>
                    <a:ext cx="2218944" cy="2206752"/>
                  </a:xfrm>
                  <a:prstGeom prst="rect">
                    <a:avLst/>
                  </a:prstGeom>
                </pic:spPr>
              </pic:pic>
            </a:graphicData>
          </a:graphic>
        </wp:anchor>
      </w:drawing>
    </w:r>
  </w:p>
  <w:p w:rsidR="004039ED" w:rsidRPr="002903A7" w:rsidRDefault="004039ED" w:rsidP="008745DA">
    <w:pPr>
      <w:jc w:val="right"/>
      <w:rPr>
        <w:rFonts w:ascii="Quicksand" w:hAnsi="Quicksand"/>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E2FC7"/>
    <w:multiLevelType w:val="hybridMultilevel"/>
    <w:tmpl w:val="0D62CA44"/>
    <w:lvl w:ilvl="0" w:tplc="76609C3A">
      <w:start w:val="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96"/>
    <w:rsid w:val="0003155E"/>
    <w:rsid w:val="00035D6D"/>
    <w:rsid w:val="00042C96"/>
    <w:rsid w:val="001110E3"/>
    <w:rsid w:val="001234C8"/>
    <w:rsid w:val="00130DE4"/>
    <w:rsid w:val="0013789E"/>
    <w:rsid w:val="00161A24"/>
    <w:rsid w:val="001C0030"/>
    <w:rsid w:val="001F0492"/>
    <w:rsid w:val="00215B8C"/>
    <w:rsid w:val="00246E49"/>
    <w:rsid w:val="00250D11"/>
    <w:rsid w:val="00251069"/>
    <w:rsid w:val="00267E69"/>
    <w:rsid w:val="002903A7"/>
    <w:rsid w:val="002943ED"/>
    <w:rsid w:val="00294A40"/>
    <w:rsid w:val="002B665A"/>
    <w:rsid w:val="002D021C"/>
    <w:rsid w:val="003038A5"/>
    <w:rsid w:val="00303E9E"/>
    <w:rsid w:val="0031175A"/>
    <w:rsid w:val="00333FC7"/>
    <w:rsid w:val="00356CAD"/>
    <w:rsid w:val="003B288D"/>
    <w:rsid w:val="003D58A3"/>
    <w:rsid w:val="003D74D9"/>
    <w:rsid w:val="003F20B2"/>
    <w:rsid w:val="004039ED"/>
    <w:rsid w:val="0040621A"/>
    <w:rsid w:val="0044747D"/>
    <w:rsid w:val="00465E6D"/>
    <w:rsid w:val="004675D8"/>
    <w:rsid w:val="00491B89"/>
    <w:rsid w:val="004C033F"/>
    <w:rsid w:val="005263C2"/>
    <w:rsid w:val="005728EA"/>
    <w:rsid w:val="005A7039"/>
    <w:rsid w:val="005D1449"/>
    <w:rsid w:val="005F04FE"/>
    <w:rsid w:val="00617F62"/>
    <w:rsid w:val="00677DE0"/>
    <w:rsid w:val="006B782B"/>
    <w:rsid w:val="006E1460"/>
    <w:rsid w:val="007327CB"/>
    <w:rsid w:val="007738FA"/>
    <w:rsid w:val="007816D8"/>
    <w:rsid w:val="00790C7C"/>
    <w:rsid w:val="007A45E5"/>
    <w:rsid w:val="007B265E"/>
    <w:rsid w:val="008021C6"/>
    <w:rsid w:val="00845DEC"/>
    <w:rsid w:val="008745DA"/>
    <w:rsid w:val="00877C2A"/>
    <w:rsid w:val="008A492E"/>
    <w:rsid w:val="008B0C4F"/>
    <w:rsid w:val="008B6BC6"/>
    <w:rsid w:val="00917BC2"/>
    <w:rsid w:val="009325F4"/>
    <w:rsid w:val="00935DC5"/>
    <w:rsid w:val="00954710"/>
    <w:rsid w:val="009A7C6B"/>
    <w:rsid w:val="00A425EE"/>
    <w:rsid w:val="00A62302"/>
    <w:rsid w:val="00AC23A1"/>
    <w:rsid w:val="00AD4B51"/>
    <w:rsid w:val="00B26B2B"/>
    <w:rsid w:val="00B534D2"/>
    <w:rsid w:val="00B630A4"/>
    <w:rsid w:val="00B93CD0"/>
    <w:rsid w:val="00C17D57"/>
    <w:rsid w:val="00C22E35"/>
    <w:rsid w:val="00C45E54"/>
    <w:rsid w:val="00C93098"/>
    <w:rsid w:val="00C95341"/>
    <w:rsid w:val="00CA06F7"/>
    <w:rsid w:val="00CA1725"/>
    <w:rsid w:val="00D57194"/>
    <w:rsid w:val="00DB1168"/>
    <w:rsid w:val="00DF5042"/>
    <w:rsid w:val="00E0376D"/>
    <w:rsid w:val="00E360F9"/>
    <w:rsid w:val="00E4282A"/>
    <w:rsid w:val="00E5154A"/>
    <w:rsid w:val="00E61766"/>
    <w:rsid w:val="00E70106"/>
    <w:rsid w:val="00EA0696"/>
    <w:rsid w:val="00EA2BA8"/>
    <w:rsid w:val="00ED60F3"/>
    <w:rsid w:val="00F327FD"/>
    <w:rsid w:val="00F435FA"/>
    <w:rsid w:val="00F46A88"/>
    <w:rsid w:val="00F56273"/>
    <w:rsid w:val="00F938A2"/>
    <w:rsid w:val="00FA4F93"/>
    <w:rsid w:val="00FF0F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ABD494-337F-49F5-8E70-0676149F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F5042"/>
    <w:rPr>
      <w:rFonts w:ascii="Arial" w:hAnsi="Arial"/>
    </w:rPr>
  </w:style>
  <w:style w:type="paragraph" w:styleId="Heading1">
    <w:name w:val="heading 1"/>
    <w:aliases w:val="CT-H1"/>
    <w:basedOn w:val="Normal"/>
    <w:next w:val="Normal"/>
    <w:link w:val="Heading1Char"/>
    <w:qFormat/>
    <w:rsid w:val="00877C2A"/>
    <w:pPr>
      <w:keepNext/>
      <w:spacing w:before="120" w:after="120"/>
      <w:outlineLvl w:val="0"/>
    </w:pPr>
    <w:rPr>
      <w:rFonts w:ascii="Quicksand" w:hAnsi="Quicksand"/>
      <w:b/>
      <w:snapToGrid w:val="0"/>
      <w:color w:val="595959" w:themeColor="text1" w:themeTint="A6"/>
      <w:sz w:val="24"/>
    </w:rPr>
  </w:style>
  <w:style w:type="paragraph" w:styleId="Heading2">
    <w:name w:val="heading 2"/>
    <w:aliases w:val="CT-H2"/>
    <w:basedOn w:val="Normal"/>
    <w:next w:val="Normal"/>
    <w:qFormat/>
    <w:rsid w:val="00877C2A"/>
    <w:pPr>
      <w:keepNext/>
      <w:tabs>
        <w:tab w:val="left" w:pos="1134"/>
        <w:tab w:val="left" w:pos="1560"/>
      </w:tabs>
      <w:outlineLvl w:val="1"/>
    </w:pPr>
    <w:rPr>
      <w:rFonts w:ascii="Quicksand" w:hAnsi="Quicksand"/>
      <w:b/>
      <w:i/>
      <w:iCs/>
      <w:color w:val="595959" w:themeColor="text1" w:themeTint="A6"/>
      <w:sz w:val="24"/>
    </w:rPr>
  </w:style>
  <w:style w:type="paragraph" w:styleId="Heading4">
    <w:name w:val="heading 4"/>
    <w:aliases w:val="CT-H4"/>
    <w:basedOn w:val="Normal"/>
    <w:next w:val="Normal"/>
    <w:qFormat/>
    <w:rsid w:val="00877C2A"/>
    <w:pPr>
      <w:keepNext/>
      <w:spacing w:before="60"/>
      <w:outlineLvl w:val="3"/>
    </w:pPr>
    <w:rPr>
      <w:rFonts w:ascii="Quicksand" w:hAnsi="Quicksand"/>
      <w:color w:val="595959" w:themeColor="text1" w:themeTint="A6"/>
      <w:sz w:val="22"/>
      <w:u w:val="single"/>
    </w:rPr>
  </w:style>
  <w:style w:type="paragraph" w:styleId="Heading7">
    <w:name w:val="heading 7"/>
    <w:basedOn w:val="Normal"/>
    <w:next w:val="Normal"/>
    <w:link w:val="Heading7Char"/>
    <w:rsid w:val="00DF5042"/>
    <w:pPr>
      <w:keepNext/>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F5042"/>
    <w:pPr>
      <w:tabs>
        <w:tab w:val="center" w:pos="4536"/>
        <w:tab w:val="right" w:pos="9072"/>
      </w:tabs>
    </w:pPr>
  </w:style>
  <w:style w:type="paragraph" w:styleId="Footer">
    <w:name w:val="footer"/>
    <w:basedOn w:val="Normal"/>
    <w:link w:val="FooterChar"/>
    <w:uiPriority w:val="99"/>
    <w:rsid w:val="00DF5042"/>
    <w:pPr>
      <w:tabs>
        <w:tab w:val="center" w:pos="4536"/>
        <w:tab w:val="right" w:pos="9072"/>
      </w:tabs>
    </w:pPr>
  </w:style>
  <w:style w:type="paragraph" w:styleId="BodyTextIndent">
    <w:name w:val="Body Text Indent"/>
    <w:basedOn w:val="Normal"/>
    <w:link w:val="BodyTextIndentChar"/>
    <w:rsid w:val="00DF5042"/>
    <w:pPr>
      <w:tabs>
        <w:tab w:val="left" w:pos="1134"/>
        <w:tab w:val="left" w:pos="1560"/>
      </w:tabs>
      <w:ind w:left="1134" w:hanging="1134"/>
    </w:pPr>
    <w:rPr>
      <w:sz w:val="18"/>
    </w:rPr>
  </w:style>
  <w:style w:type="character" w:styleId="Hyperlink">
    <w:name w:val="Hyperlink"/>
    <w:basedOn w:val="DefaultParagraphFont"/>
    <w:rsid w:val="00DF5042"/>
    <w:rPr>
      <w:color w:val="0000FF"/>
      <w:u w:val="single"/>
    </w:rPr>
  </w:style>
  <w:style w:type="table" w:styleId="TableGrid">
    <w:name w:val="Table Grid"/>
    <w:basedOn w:val="TableNormal"/>
    <w:uiPriority w:val="39"/>
    <w:rsid w:val="008B6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325F4"/>
    <w:rPr>
      <w:rFonts w:ascii="Tahoma" w:hAnsi="Tahoma" w:cs="Tahoma"/>
      <w:sz w:val="16"/>
      <w:szCs w:val="16"/>
    </w:rPr>
  </w:style>
  <w:style w:type="character" w:customStyle="1" w:styleId="BalloonTextChar">
    <w:name w:val="Balloon Text Char"/>
    <w:basedOn w:val="DefaultParagraphFont"/>
    <w:link w:val="BalloonText"/>
    <w:rsid w:val="009325F4"/>
    <w:rPr>
      <w:rFonts w:ascii="Tahoma" w:hAnsi="Tahoma" w:cs="Tahoma"/>
      <w:sz w:val="16"/>
      <w:szCs w:val="16"/>
    </w:rPr>
  </w:style>
  <w:style w:type="paragraph" w:styleId="ListParagraph">
    <w:name w:val="List Paragraph"/>
    <w:basedOn w:val="Normal"/>
    <w:uiPriority w:val="34"/>
    <w:rsid w:val="00B630A4"/>
    <w:pPr>
      <w:ind w:left="720"/>
      <w:contextualSpacing/>
    </w:pPr>
  </w:style>
  <w:style w:type="character" w:customStyle="1" w:styleId="BodyTextIndentChar">
    <w:name w:val="Body Text Indent Char"/>
    <w:basedOn w:val="DefaultParagraphFont"/>
    <w:link w:val="BodyTextIndent"/>
    <w:rsid w:val="00F435FA"/>
    <w:rPr>
      <w:rFonts w:ascii="Arial" w:hAnsi="Arial"/>
      <w:sz w:val="18"/>
    </w:rPr>
  </w:style>
  <w:style w:type="character" w:customStyle="1" w:styleId="Heading7Char">
    <w:name w:val="Heading 7 Char"/>
    <w:basedOn w:val="DefaultParagraphFont"/>
    <w:link w:val="Heading7"/>
    <w:rsid w:val="00F435FA"/>
    <w:rPr>
      <w:rFonts w:ascii="Arial" w:hAnsi="Arial"/>
      <w:sz w:val="24"/>
      <w:u w:val="single"/>
    </w:rPr>
  </w:style>
  <w:style w:type="character" w:customStyle="1" w:styleId="Heading1Char">
    <w:name w:val="Heading 1 Char"/>
    <w:aliases w:val="CT-H1 Char"/>
    <w:basedOn w:val="DefaultParagraphFont"/>
    <w:link w:val="Heading1"/>
    <w:rsid w:val="00877C2A"/>
    <w:rPr>
      <w:rFonts w:ascii="Quicksand" w:hAnsi="Quicksand"/>
      <w:b/>
      <w:snapToGrid w:val="0"/>
      <w:color w:val="595959" w:themeColor="text1" w:themeTint="A6"/>
      <w:sz w:val="24"/>
    </w:rPr>
  </w:style>
  <w:style w:type="character" w:customStyle="1" w:styleId="HeaderChar">
    <w:name w:val="Header Char"/>
    <w:basedOn w:val="DefaultParagraphFont"/>
    <w:link w:val="Header"/>
    <w:uiPriority w:val="99"/>
    <w:rsid w:val="007816D8"/>
    <w:rPr>
      <w:rFonts w:ascii="Arial" w:hAnsi="Arial"/>
    </w:rPr>
  </w:style>
  <w:style w:type="character" w:customStyle="1" w:styleId="FooterChar">
    <w:name w:val="Footer Char"/>
    <w:basedOn w:val="DefaultParagraphFont"/>
    <w:link w:val="Footer"/>
    <w:uiPriority w:val="99"/>
    <w:rsid w:val="002903A7"/>
    <w:rPr>
      <w:rFonts w:ascii="Arial" w:hAnsi="Arial"/>
    </w:rPr>
  </w:style>
  <w:style w:type="paragraph" w:customStyle="1" w:styleId="CT-Normal">
    <w:name w:val="CT-Normal"/>
    <w:basedOn w:val="Normal"/>
    <w:link w:val="CT-NormalChar"/>
    <w:autoRedefine/>
    <w:qFormat/>
    <w:rsid w:val="00917BC2"/>
    <w:pPr>
      <w:spacing w:before="120" w:after="120"/>
      <w:ind w:right="-14"/>
      <w:jc w:val="both"/>
    </w:pPr>
    <w:rPr>
      <w:rFonts w:ascii="Quicksand" w:eastAsia="Noto Sans CJK SC Regular" w:hAnsi="Quicksand" w:cs="Arial"/>
      <w:color w:val="000000"/>
      <w:szCs w:val="22"/>
      <w:lang w:val="en-US"/>
    </w:rPr>
  </w:style>
  <w:style w:type="paragraph" w:styleId="Title">
    <w:name w:val="Title"/>
    <w:aliases w:val="CT-Title"/>
    <w:basedOn w:val="Normal"/>
    <w:next w:val="Normal"/>
    <w:link w:val="TitleChar"/>
    <w:qFormat/>
    <w:rsid w:val="00877C2A"/>
    <w:pPr>
      <w:contextualSpacing/>
    </w:pPr>
    <w:rPr>
      <w:rFonts w:ascii="Quicksand" w:eastAsiaTheme="majorEastAsia" w:hAnsi="Quicksand" w:cstheme="majorBidi"/>
      <w:b/>
      <w:color w:val="595959" w:themeColor="text1" w:themeTint="A6"/>
      <w:spacing w:val="-10"/>
      <w:kern w:val="28"/>
      <w:sz w:val="56"/>
      <w:szCs w:val="56"/>
    </w:rPr>
  </w:style>
  <w:style w:type="character" w:customStyle="1" w:styleId="CT-NormalChar">
    <w:name w:val="CT-Normal Char"/>
    <w:basedOn w:val="DefaultParagraphFont"/>
    <w:link w:val="CT-Normal"/>
    <w:rsid w:val="00917BC2"/>
    <w:rPr>
      <w:rFonts w:ascii="Quicksand" w:eastAsia="Noto Sans CJK SC Regular" w:hAnsi="Quicksand" w:cs="Arial"/>
      <w:color w:val="000000"/>
      <w:szCs w:val="22"/>
      <w:lang w:val="en-US"/>
    </w:rPr>
  </w:style>
  <w:style w:type="character" w:customStyle="1" w:styleId="TitleChar">
    <w:name w:val="Title Char"/>
    <w:aliases w:val="CT-Title Char"/>
    <w:basedOn w:val="DefaultParagraphFont"/>
    <w:link w:val="Title"/>
    <w:rsid w:val="00877C2A"/>
    <w:rPr>
      <w:rFonts w:ascii="Quicksand" w:eastAsiaTheme="majorEastAsia" w:hAnsi="Quicksand" w:cstheme="majorBidi"/>
      <w:b/>
      <w:color w:val="595959" w:themeColor="text1" w:themeTint="A6"/>
      <w:spacing w:val="-10"/>
      <w:kern w:val="28"/>
      <w:sz w:val="56"/>
      <w:szCs w:val="56"/>
    </w:rPr>
  </w:style>
  <w:style w:type="character" w:styleId="SubtleReference">
    <w:name w:val="Subtle Reference"/>
    <w:basedOn w:val="DefaultParagraphFont"/>
    <w:uiPriority w:val="31"/>
    <w:rsid w:val="00877C2A"/>
    <w:rPr>
      <w:rFonts w:ascii="Quicksand" w:hAnsi="Quicksand"/>
      <w:smallCaps/>
      <w:color w:val="5A5A5A" w:themeColor="text1" w:themeTint="A5"/>
    </w:rPr>
  </w:style>
  <w:style w:type="paragraph" w:styleId="NormalWeb">
    <w:name w:val="Normal (Web)"/>
    <w:basedOn w:val="Normal"/>
    <w:uiPriority w:val="99"/>
    <w:unhideWhenUsed/>
    <w:rsid w:val="00C22E35"/>
    <w:pPr>
      <w:spacing w:before="100" w:beforeAutospacing="1" w:after="100" w:afterAutospacing="1"/>
    </w:pPr>
    <w:rPr>
      <w:rFonts w:ascii="Times New Roma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27048">
      <w:bodyDiv w:val="1"/>
      <w:marLeft w:val="0"/>
      <w:marRight w:val="0"/>
      <w:marTop w:val="0"/>
      <w:marBottom w:val="0"/>
      <w:divBdr>
        <w:top w:val="none" w:sz="0" w:space="0" w:color="auto"/>
        <w:left w:val="none" w:sz="0" w:space="0" w:color="auto"/>
        <w:bottom w:val="none" w:sz="0" w:space="0" w:color="auto"/>
        <w:right w:val="none" w:sz="0" w:space="0" w:color="auto"/>
      </w:divBdr>
    </w:div>
    <w:div w:id="1375617440">
      <w:bodyDiv w:val="1"/>
      <w:marLeft w:val="0"/>
      <w:marRight w:val="0"/>
      <w:marTop w:val="0"/>
      <w:marBottom w:val="0"/>
      <w:divBdr>
        <w:top w:val="none" w:sz="0" w:space="0" w:color="auto"/>
        <w:left w:val="none" w:sz="0" w:space="0" w:color="auto"/>
        <w:bottom w:val="none" w:sz="0" w:space="0" w:color="auto"/>
        <w:right w:val="none" w:sz="0" w:space="0" w:color="auto"/>
      </w:divBdr>
    </w:div>
    <w:div w:id="1628584439">
      <w:bodyDiv w:val="1"/>
      <w:marLeft w:val="0"/>
      <w:marRight w:val="0"/>
      <w:marTop w:val="0"/>
      <w:marBottom w:val="0"/>
      <w:divBdr>
        <w:top w:val="none" w:sz="0" w:space="0" w:color="auto"/>
        <w:left w:val="none" w:sz="0" w:space="0" w:color="auto"/>
        <w:bottom w:val="none" w:sz="0" w:space="0" w:color="auto"/>
        <w:right w:val="none" w:sz="0" w:space="0" w:color="auto"/>
      </w:divBdr>
    </w:div>
    <w:div w:id="16787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hyperlink" Target="http://www.centrotherm.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1FA4-107F-4388-AB82-4BDE2EED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658</Words>
  <Characters>3755</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Brief (inkl. Logo)</vt:lpstr>
      <vt:lpstr>Brief (inkl. Logo)</vt:lpstr>
    </vt:vector>
  </TitlesOfParts>
  <Company>HP</Company>
  <LinksUpToDate>false</LinksUpToDate>
  <CharactersWithSpaces>4405</CharactersWithSpaces>
  <SharedDoc>false</SharedDoc>
  <HLinks>
    <vt:vector size="6" baseType="variant">
      <vt:variant>
        <vt:i4>1441855</vt:i4>
      </vt:variant>
      <vt:variant>
        <vt:i4>6</vt:i4>
      </vt:variant>
      <vt:variant>
        <vt:i4>0</vt:i4>
      </vt:variant>
      <vt:variant>
        <vt:i4>5</vt:i4>
      </vt:variant>
      <vt:variant>
        <vt:lpwstr>mailto:cschreckenberg@centrotec.de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(inkl. Logo)</dc:title>
  <dc:subject/>
  <dc:creator>van der Wel, Martijn</dc:creator>
  <cp:keywords/>
  <dc:description/>
  <cp:lastModifiedBy>Pryce, Matthew</cp:lastModifiedBy>
  <cp:revision>7</cp:revision>
  <cp:lastPrinted>2018-03-02T13:12:00Z</cp:lastPrinted>
  <dcterms:created xsi:type="dcterms:W3CDTF">2018-03-05T16:44:00Z</dcterms:created>
  <dcterms:modified xsi:type="dcterms:W3CDTF">2018-09-05T14:53:00Z</dcterms:modified>
</cp:coreProperties>
</file>